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8" w:type="pct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4416"/>
        <w:gridCol w:w="7419"/>
      </w:tblGrid>
      <w:tr w:rsidR="00905A85" w:rsidRPr="00905A85" w:rsidTr="00C06B5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06B55" w:rsidRPr="00905A85" w:rsidRDefault="00147BBA" w:rsidP="00C06B5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bdr w:val="none" w:sz="0" w:space="0" w:color="auto" w:frame="1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05A85">
              <w:rPr>
                <w:noProof/>
                <w:color w:val="0070C0"/>
                <w:sz w:val="32"/>
                <w:szCs w:val="32"/>
                <w:lang w:eastAsia="tr-TR"/>
              </w:rPr>
              <w:drawing>
                <wp:inline distT="0" distB="0" distL="0" distR="0" wp14:anchorId="04E0B45B" wp14:editId="3B73C10E">
                  <wp:extent cx="5131398" cy="18933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516" cy="189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B55" w:rsidRPr="00905A85" w:rsidRDefault="00C06B55" w:rsidP="00326BFE">
            <w:pPr>
              <w:pStyle w:val="section1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32"/>
                <w:szCs w:val="32"/>
                <w:bdr w:val="none" w:sz="0" w:space="0" w:color="auto" w:frame="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05A85">
              <w:rPr>
                <w:b/>
                <w:bCs/>
                <w:color w:val="0070C0"/>
                <w:sz w:val="32"/>
                <w:szCs w:val="32"/>
                <w:bdr w:val="none" w:sz="0" w:space="0" w:color="auto" w:frame="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TAM KAPSAMLI KALP CHECK-UP KAMPANYASI </w:t>
            </w:r>
            <w:r w:rsidR="00326BFE" w:rsidRPr="00905A85">
              <w:rPr>
                <w:b/>
                <w:bCs/>
                <w:color w:val="0070C0"/>
                <w:sz w:val="32"/>
                <w:szCs w:val="32"/>
                <w:bdr w:val="none" w:sz="0" w:space="0" w:color="auto" w:frame="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AŞAĞIDAKİ LİSTEYİ İÇERMEKTEDİR</w:t>
            </w:r>
          </w:p>
          <w:p w:rsidR="00326BFE" w:rsidRPr="00905A85" w:rsidRDefault="00326BFE" w:rsidP="00326BFE">
            <w:pPr>
              <w:pStyle w:val="section1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MUAYENE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905A85">
              <w:rPr>
                <w:b/>
                <w:color w:val="0070C0"/>
                <w:sz w:val="28"/>
                <w:szCs w:val="28"/>
                <w:u w:val="single"/>
              </w:rPr>
              <w:t xml:space="preserve">Uzm. </w:t>
            </w:r>
            <w:proofErr w:type="spellStart"/>
            <w:r w:rsidRPr="00905A85">
              <w:rPr>
                <w:b/>
                <w:color w:val="0070C0"/>
                <w:sz w:val="28"/>
                <w:szCs w:val="28"/>
                <w:u w:val="single"/>
              </w:rPr>
              <w:t>Dr.Ebubekir</w:t>
            </w:r>
            <w:proofErr w:type="spellEnd"/>
            <w:r w:rsidRPr="00905A85">
              <w:rPr>
                <w:b/>
                <w:color w:val="0070C0"/>
                <w:sz w:val="28"/>
                <w:szCs w:val="28"/>
                <w:u w:val="single"/>
              </w:rPr>
              <w:t xml:space="preserve"> Emre Men</w:t>
            </w:r>
          </w:p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  <w:u w:val="single"/>
              </w:rPr>
            </w:pPr>
          </w:p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905A85">
              <w:rPr>
                <w:b/>
                <w:color w:val="0070C0"/>
                <w:sz w:val="28"/>
                <w:szCs w:val="28"/>
                <w:u w:val="single"/>
              </w:rPr>
              <w:t>KISA ÖZGEÇMİŞİ</w:t>
            </w:r>
          </w:p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rPr>
                <w:b/>
                <w:i/>
                <w:color w:val="0070C0"/>
                <w:u w:val="single"/>
              </w:rPr>
            </w:pPr>
          </w:p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rPr>
                <w:i/>
                <w:caps/>
                <w:color w:val="0070C0"/>
              </w:rPr>
            </w:pPr>
            <w:r w:rsidRPr="00905A85">
              <w:rPr>
                <w:i/>
                <w:caps/>
                <w:color w:val="0070C0"/>
              </w:rPr>
              <w:t>*1999 İstanbul Tıp Fakültesi (Çapa Tıp) mezunu</w:t>
            </w:r>
          </w:p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rPr>
                <w:i/>
                <w:caps/>
                <w:color w:val="0070C0"/>
              </w:rPr>
            </w:pPr>
            <w:r w:rsidRPr="00905A85">
              <w:rPr>
                <w:i/>
                <w:caps/>
                <w:color w:val="0070C0"/>
              </w:rPr>
              <w:t>*Florence Nightıngale Hastanesi Kardiyoloji ABD. (5 YIL)</w:t>
            </w:r>
          </w:p>
          <w:p w:rsidR="00D60B8F" w:rsidRPr="00905A85" w:rsidRDefault="00D60B8F" w:rsidP="00D60B8F">
            <w:pPr>
              <w:pStyle w:val="section1"/>
              <w:spacing w:before="0" w:beforeAutospacing="0" w:after="0" w:afterAutospacing="0"/>
              <w:rPr>
                <w:i/>
                <w:caps/>
                <w:color w:val="0070C0"/>
              </w:rPr>
            </w:pPr>
            <w:r w:rsidRPr="00905A85">
              <w:rPr>
                <w:i/>
                <w:caps/>
                <w:color w:val="0070C0"/>
              </w:rPr>
              <w:t>*Özel Gaziosmanpaşa Hastanesi (8 yıl)</w:t>
            </w:r>
          </w:p>
          <w:p w:rsidR="00417451" w:rsidRPr="00905A85" w:rsidRDefault="00417451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EKG</w:t>
            </w:r>
            <w:r w:rsidRPr="00905A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905A85">
              <w:rPr>
                <w:rFonts w:ascii="Times New Roman" w:hAnsi="Times New Roman" w:cs="Times New Roman"/>
                <w:b/>
                <w:color w:val="0070C0"/>
              </w:rPr>
              <w:t>(ELEKTROKARDİYOGRAFİ)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6"/>
            </w:tblGrid>
            <w:tr w:rsidR="00905A85" w:rsidRPr="00905A85" w:rsidTr="004005C4">
              <w:trPr>
                <w:tblCellSpacing w:w="0" w:type="dxa"/>
                <w:jc w:val="center"/>
              </w:trPr>
              <w:tc>
                <w:tcPr>
                  <w:tcW w:w="893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6"/>
                  </w:tblGrid>
                  <w:tr w:rsidR="00905A85" w:rsidRPr="00905A85">
                    <w:trPr>
                      <w:tblCellSpacing w:w="15" w:type="dxa"/>
                      <w:jc w:val="center"/>
                    </w:trPr>
                    <w:tc>
                      <w:tcPr>
                        <w:tcW w:w="8876" w:type="dxa"/>
                        <w:vAlign w:val="center"/>
                        <w:hideMark/>
                      </w:tcPr>
                      <w:p w:rsidR="004005C4" w:rsidRPr="00905A85" w:rsidRDefault="004005C4" w:rsidP="00A7320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</w:pPr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Elektrokardiyogram (EKG) kalbin </w:t>
                        </w:r>
                        <w:proofErr w:type="spellStart"/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elektriki</w:t>
                        </w:r>
                        <w:proofErr w:type="spellEnd"/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 aktivitesinin </w:t>
                        </w:r>
                        <w:proofErr w:type="spellStart"/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göğüse</w:t>
                        </w:r>
                        <w:proofErr w:type="spellEnd"/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, el ve ayak bileklerine bağlanan </w:t>
                        </w:r>
                        <w:proofErr w:type="spellStart"/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elektrodlarla</w:t>
                        </w:r>
                        <w:proofErr w:type="spellEnd"/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 kaydedilmesidir. EKG</w:t>
                        </w:r>
                        <w:r w:rsidR="00A7320A"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 en temel, olmazsa olmaz </w:t>
                        </w:r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risksiz bir kalp tetkikidir</w:t>
                        </w:r>
                        <w:r w:rsidR="00A7320A"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="00A7320A"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K</w:t>
                        </w:r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alp</w:t>
                        </w:r>
                        <w:r w:rsidR="00A7320A"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905A85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lang w:eastAsia="tr-TR"/>
                          </w:rPr>
                          <w:t>krizinden ritim problemlerine kadar birçok kalp rahatsızlığı hakkında bizlere bilgi verir. </w:t>
                        </w:r>
                      </w:p>
                    </w:tc>
                  </w:tr>
                </w:tbl>
                <w:p w:rsidR="004005C4" w:rsidRPr="00905A85" w:rsidRDefault="004005C4" w:rsidP="00400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17451" w:rsidRPr="00905A85" w:rsidRDefault="00417451" w:rsidP="004005C4">
            <w:pPr>
              <w:pStyle w:val="NormalWeb"/>
              <w:shd w:val="clear" w:color="auto" w:fill="F7EC8B"/>
              <w:spacing w:before="0" w:beforeAutospacing="0" w:after="300" w:afterAutospacing="0" w:line="300" w:lineRule="atLeast"/>
              <w:rPr>
                <w:bCs/>
                <w:color w:val="0070C0"/>
                <w:bdr w:val="none" w:sz="0" w:space="0" w:color="auto" w:frame="1"/>
              </w:rPr>
            </w:pP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EKO(EKOKARDİYOGRAFİ)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EKO(Ekokardiyografi) yüksek frekanslı ses dalgaları (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ultrasoud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-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ultrason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) ile kalbin görüntülenmesidir.</w:t>
            </w:r>
            <w:r w:rsidR="00A7320A"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G</w:t>
            </w: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irişimsel</w:t>
            </w:r>
            <w:r w:rsidR="00A7320A"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</w:t>
            </w: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olmayan, risksiz, tekrarlanabilir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bir çok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kalp hastalığında tanı koydurucu olan bir tetkiktir.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EKO kalple ilgili başlıca şu konularda bilgiler verir.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*Kalbin yapısı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 Kalp kası hasarı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 Kalp büyümesi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 Kalp yetersizliği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  *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Romatizmal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kapak hastalığına bağlı olan kalp kapak problemleri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  * Kalp kapaklarının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romatizmal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dışı hastalıklarını (kalınlaşma, daralma, yetersizlik, kan sızdırması)  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*Kalp kapak hastalıklarında ameliyat kararı vermede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  *Kalp kapağı ameliyatı olmuş hastalarda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protez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kapak fonksiyonlarının ölçülmesi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*Felç geçirenlerde kalp kökenli pıhtı araştırması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*Kalp kasında kalınlaşmanın araştırması (tansiyona bağlı veya doğuştan)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*Kalp deliklerinin tespiti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*Akciğere giden damardaki basıncın ölçümü (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pulmoner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hipertansiyon tespiti)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*Kalp tümörlerinin tespiti</w:t>
            </w:r>
          </w:p>
          <w:p w:rsidR="00417451" w:rsidRDefault="00417451" w:rsidP="00491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491AA9" w:rsidRPr="00905A85" w:rsidRDefault="00491AA9" w:rsidP="00491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EFOR TESTİ(TREADMİLL)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Efor testi koşu bandında yürümekle uygulanır. Bu esnada 12 derivasyonlu EKG kayıtları alınır. </w:t>
            </w:r>
            <w:r w:rsidR="00A7320A"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K</w:t>
            </w: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alp</w:t>
            </w:r>
            <w:r w:rsidR="00A7320A"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</w:t>
            </w: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kasını besleyen damarlarda  (koroner arterlerde) damar sertliği, daralması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yada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tıkanması var ise veya  spazm gelişmişse, koroner  kan akımı kalp kasının (miyokardın) kan ihtiyacını karşılamada  yetersiz olur ve  EKG belirtileri ile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miyokard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iskemisi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ortaya çıkar (kalp damar hastalığı varlığı ortaya çıkar.)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Efor testi bize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*Göğüs ağrısı olan hastalarda bu ağrı kalp damar tıkanıklığına</w:t>
            </w:r>
            <w:r w:rsidR="00A7320A"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</w:t>
            </w: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mı bağlı?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*Efor kapasitesi tayini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*Eforla tetiklenen ritim problemi var</w:t>
            </w:r>
            <w:r w:rsid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</w:t>
            </w: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mı</w:t>
            </w:r>
            <w:proofErr w:type="gramEnd"/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 *Yapılan tedavilerin takibinde, kalp damarına balon-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stent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uygulanan hastalarda takip açısından kontrol kalp anjiyosu veya daha ileri tetkik gerekliliği konusunda bilgiler verir.</w:t>
            </w:r>
          </w:p>
          <w:p w:rsidR="004005C4" w:rsidRPr="00905A85" w:rsidRDefault="004005C4" w:rsidP="0040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 </w:t>
            </w:r>
          </w:p>
          <w:p w:rsidR="00417451" w:rsidRPr="00905A85" w:rsidRDefault="00417451" w:rsidP="0090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A7320A" w:rsidP="00A732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RİTİM HOLTER (GEREKEN HASTALARA)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5C4" w:rsidRPr="00905A85" w:rsidRDefault="004005C4" w:rsidP="004005C4">
            <w:pPr>
              <w:pStyle w:val="NormalWeb"/>
              <w:shd w:val="clear" w:color="auto" w:fill="FFFFFF"/>
              <w:spacing w:before="278" w:beforeAutospacing="0" w:after="278" w:afterAutospacing="0"/>
              <w:rPr>
                <w:color w:val="0070C0"/>
              </w:rPr>
            </w:pPr>
            <w:r w:rsidRPr="00905A85">
              <w:rPr>
                <w:color w:val="0070C0"/>
              </w:rPr>
              <w:t xml:space="preserve">24 saatlik ritim </w:t>
            </w:r>
            <w:proofErr w:type="spellStart"/>
            <w:r w:rsidRPr="00905A85">
              <w:rPr>
                <w:color w:val="0070C0"/>
              </w:rPr>
              <w:t>holteri</w:t>
            </w:r>
            <w:proofErr w:type="spellEnd"/>
            <w:r w:rsidRPr="00905A85">
              <w:rPr>
                <w:color w:val="0070C0"/>
              </w:rPr>
              <w:t xml:space="preserve"> hastanın günlük aktivitesini engellemeden bir ya da birkaç günlük dönemde otomatik olarak devamlı EKG kaydı yapılmasıdır. Ritim </w:t>
            </w:r>
            <w:proofErr w:type="spellStart"/>
            <w:r w:rsidRPr="00905A85">
              <w:rPr>
                <w:color w:val="0070C0"/>
              </w:rPr>
              <w:t>holteri</w:t>
            </w:r>
            <w:proofErr w:type="spellEnd"/>
            <w:r w:rsidRPr="00905A85">
              <w:rPr>
                <w:color w:val="0070C0"/>
              </w:rPr>
              <w:t xml:space="preserve"> ile</w:t>
            </w:r>
          </w:p>
          <w:p w:rsidR="004005C4" w:rsidRPr="00905A85" w:rsidRDefault="004005C4" w:rsidP="004005C4">
            <w:pPr>
              <w:pStyle w:val="NormalWeb"/>
              <w:shd w:val="clear" w:color="auto" w:fill="FFFFFF"/>
              <w:spacing w:before="278" w:beforeAutospacing="0" w:after="278" w:afterAutospacing="0"/>
              <w:rPr>
                <w:color w:val="0070C0"/>
              </w:rPr>
            </w:pPr>
            <w:r w:rsidRPr="00905A85">
              <w:rPr>
                <w:color w:val="0070C0"/>
              </w:rPr>
              <w:t> </w:t>
            </w:r>
            <w:r w:rsidRPr="00905A85">
              <w:rPr>
                <w:rStyle w:val="apple-converted-space"/>
                <w:color w:val="0070C0"/>
              </w:rPr>
              <w:t> </w:t>
            </w:r>
            <w:r w:rsidRPr="00905A85">
              <w:rPr>
                <w:color w:val="0070C0"/>
              </w:rPr>
              <w:t>*Ritim problemleri </w:t>
            </w:r>
            <w:r w:rsidRPr="00905A85">
              <w:rPr>
                <w:rStyle w:val="apple-converted-space"/>
                <w:color w:val="0070C0"/>
              </w:rPr>
              <w:t> </w:t>
            </w:r>
            <w:r w:rsidRPr="00905A85">
              <w:rPr>
                <w:color w:val="0070C0"/>
              </w:rPr>
              <w:t>*Kalp durmaları veya duraksamaları</w:t>
            </w:r>
          </w:p>
          <w:p w:rsidR="004005C4" w:rsidRPr="00905A85" w:rsidRDefault="004005C4" w:rsidP="004005C4">
            <w:pPr>
              <w:pStyle w:val="NormalWeb"/>
              <w:shd w:val="clear" w:color="auto" w:fill="FFFFFF"/>
              <w:spacing w:before="278" w:beforeAutospacing="0" w:after="278" w:afterAutospacing="0"/>
              <w:rPr>
                <w:color w:val="0070C0"/>
              </w:rPr>
            </w:pPr>
            <w:r w:rsidRPr="00905A85">
              <w:rPr>
                <w:color w:val="0070C0"/>
              </w:rPr>
              <w:t> </w:t>
            </w:r>
            <w:r w:rsidRPr="00905A85">
              <w:rPr>
                <w:rStyle w:val="apple-converted-space"/>
                <w:color w:val="0070C0"/>
              </w:rPr>
              <w:t> </w:t>
            </w:r>
            <w:r w:rsidRPr="00905A85">
              <w:rPr>
                <w:color w:val="0070C0"/>
              </w:rPr>
              <w:t>*Kalp elektriksel uyarılarında bloklar</w:t>
            </w:r>
          </w:p>
          <w:p w:rsidR="004005C4" w:rsidRPr="00905A85" w:rsidRDefault="004005C4" w:rsidP="004005C4">
            <w:pPr>
              <w:pStyle w:val="NormalWeb"/>
              <w:shd w:val="clear" w:color="auto" w:fill="FFFFFF"/>
              <w:spacing w:before="278" w:beforeAutospacing="0" w:after="278" w:afterAutospacing="0"/>
              <w:rPr>
                <w:color w:val="0070C0"/>
              </w:rPr>
            </w:pPr>
            <w:r w:rsidRPr="00905A85">
              <w:rPr>
                <w:color w:val="0070C0"/>
              </w:rPr>
              <w:t> </w:t>
            </w:r>
            <w:r w:rsidRPr="00905A85">
              <w:rPr>
                <w:rStyle w:val="apple-converted-space"/>
                <w:color w:val="0070C0"/>
              </w:rPr>
              <w:t> </w:t>
            </w:r>
            <w:r w:rsidRPr="00905A85">
              <w:rPr>
                <w:color w:val="0070C0"/>
              </w:rPr>
              <w:t>*</w:t>
            </w:r>
            <w:proofErr w:type="spellStart"/>
            <w:r w:rsidRPr="00905A85">
              <w:rPr>
                <w:color w:val="0070C0"/>
              </w:rPr>
              <w:t>İskemi</w:t>
            </w:r>
            <w:proofErr w:type="spellEnd"/>
            <w:r w:rsidRPr="00905A85">
              <w:rPr>
                <w:color w:val="0070C0"/>
              </w:rPr>
              <w:t xml:space="preserve"> denilen kalp damarlarındaki daralma veya tıkanmadan kaynaklanan bulgu varlığı</w:t>
            </w:r>
          </w:p>
          <w:p w:rsidR="004005C4" w:rsidRPr="00905A85" w:rsidRDefault="004005C4" w:rsidP="004005C4">
            <w:pPr>
              <w:pStyle w:val="NormalWeb"/>
              <w:shd w:val="clear" w:color="auto" w:fill="FFFFFF"/>
              <w:spacing w:before="278" w:beforeAutospacing="0" w:after="278" w:afterAutospacing="0"/>
              <w:rPr>
                <w:color w:val="0070C0"/>
              </w:rPr>
            </w:pPr>
            <w:r w:rsidRPr="00905A85">
              <w:rPr>
                <w:color w:val="0070C0"/>
              </w:rPr>
              <w:t> *Bayılma veya fenalık hissi gibi durumlarda kalp kaynaklı ritim probleminden olup olmadığı tespit edilebilir.</w:t>
            </w:r>
          </w:p>
          <w:p w:rsidR="00417451" w:rsidRPr="00905A85" w:rsidRDefault="004005C4" w:rsidP="004005C4">
            <w:pPr>
              <w:pStyle w:val="NormalWeb"/>
              <w:shd w:val="clear" w:color="auto" w:fill="FFFFFF"/>
              <w:spacing w:before="278" w:beforeAutospacing="0" w:after="278" w:afterAutospacing="0"/>
              <w:rPr>
                <w:bCs/>
                <w:color w:val="0070C0"/>
                <w:bdr w:val="none" w:sz="0" w:space="0" w:color="auto" w:frame="1"/>
              </w:rPr>
            </w:pPr>
            <w:r w:rsidRPr="00905A85">
              <w:rPr>
                <w:color w:val="0070C0"/>
              </w:rPr>
              <w:t xml:space="preserve">Ayrıca </w:t>
            </w:r>
            <w:proofErr w:type="gramStart"/>
            <w:r w:rsidRPr="00905A85">
              <w:rPr>
                <w:color w:val="0070C0"/>
              </w:rPr>
              <w:t>şikayetleri</w:t>
            </w:r>
            <w:proofErr w:type="gramEnd"/>
            <w:r w:rsidRPr="00905A85">
              <w:rPr>
                <w:color w:val="0070C0"/>
              </w:rPr>
              <w:t xml:space="preserve"> nadiren gelişen </w:t>
            </w:r>
            <w:proofErr w:type="spellStart"/>
            <w:r w:rsidRPr="00905A85">
              <w:rPr>
                <w:color w:val="0070C0"/>
              </w:rPr>
              <w:t>hastalerda</w:t>
            </w:r>
            <w:proofErr w:type="spellEnd"/>
            <w:r w:rsidRPr="00905A85">
              <w:rPr>
                <w:color w:val="0070C0"/>
              </w:rPr>
              <w:t xml:space="preserve"> olay kaydedici-</w:t>
            </w:r>
            <w:proofErr w:type="spellStart"/>
            <w:r w:rsidRPr="00905A85">
              <w:rPr>
                <w:color w:val="0070C0"/>
              </w:rPr>
              <w:t>event</w:t>
            </w:r>
            <w:proofErr w:type="spellEnd"/>
            <w:r w:rsidRPr="00905A85">
              <w:rPr>
                <w:color w:val="0070C0"/>
              </w:rPr>
              <w:t xml:space="preserve"> </w:t>
            </w:r>
            <w:proofErr w:type="spellStart"/>
            <w:r w:rsidRPr="00905A85">
              <w:rPr>
                <w:color w:val="0070C0"/>
              </w:rPr>
              <w:t>recorder</w:t>
            </w:r>
            <w:proofErr w:type="spellEnd"/>
            <w:r w:rsidRPr="00905A85">
              <w:rPr>
                <w:color w:val="0070C0"/>
              </w:rPr>
              <w:t xml:space="preserve"> </w:t>
            </w:r>
            <w:proofErr w:type="spellStart"/>
            <w:r w:rsidRPr="00905A85">
              <w:rPr>
                <w:color w:val="0070C0"/>
              </w:rPr>
              <w:t>transtelefonik</w:t>
            </w:r>
            <w:proofErr w:type="spellEnd"/>
            <w:r w:rsidRPr="00905A85">
              <w:rPr>
                <w:color w:val="0070C0"/>
              </w:rPr>
              <w:t xml:space="preserve"> </w:t>
            </w:r>
            <w:proofErr w:type="spellStart"/>
            <w:r w:rsidRPr="00905A85">
              <w:rPr>
                <w:color w:val="0070C0"/>
              </w:rPr>
              <w:t>holter</w:t>
            </w:r>
            <w:proofErr w:type="spellEnd"/>
            <w:r w:rsidRPr="00905A85">
              <w:rPr>
                <w:color w:val="0070C0"/>
              </w:rPr>
              <w:t xml:space="preserve"> kayıt denen aletler ile daha uzun süreli EKG </w:t>
            </w:r>
            <w:proofErr w:type="spellStart"/>
            <w:r w:rsidRPr="00905A85">
              <w:rPr>
                <w:color w:val="0070C0"/>
              </w:rPr>
              <w:t>kayıtlarıda</w:t>
            </w:r>
            <w:proofErr w:type="spellEnd"/>
            <w:r w:rsidRPr="00905A85">
              <w:rPr>
                <w:color w:val="0070C0"/>
              </w:rPr>
              <w:t xml:space="preserve"> alınabilir.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20A" w:rsidRPr="00905A85" w:rsidRDefault="00A7320A" w:rsidP="00A7320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</w:p>
          <w:p w:rsidR="00A7320A" w:rsidRPr="00905A85" w:rsidRDefault="00A7320A" w:rsidP="00A7320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</w:p>
          <w:p w:rsidR="00417451" w:rsidRPr="00905A85" w:rsidRDefault="00A7320A" w:rsidP="00A7320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TANSİYON HOLTER (GEREKEN HASTALARA)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4005C4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 w:rsidRPr="00905A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Ambulatuar</w:t>
            </w:r>
            <w:proofErr w:type="spellEnd"/>
            <w:r w:rsidRPr="00905A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kan basıncı </w:t>
            </w:r>
            <w:proofErr w:type="spellStart"/>
            <w:r w:rsidRPr="00905A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monitorizasyonu</w:t>
            </w:r>
            <w:proofErr w:type="spellEnd"/>
            <w:r w:rsidRPr="00905A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hastanın günlük aktivitesini engellemeden bir ya da birkaç günlük dönemde otomatik olarak kan basıncını ölçme tekniğidir. Günümüzde kullanılan cihazlar otomatik, sessiz ve hafiftir. Pille ça</w:t>
            </w:r>
            <w:r w:rsidR="00905A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lışan elektronik bir alet ve </w:t>
            </w:r>
            <w:r w:rsidRPr="00905A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tansiyon manşonundan oluşan düzenekle saatte 2-8 kez tansiyon ölçülüp kaydedilir.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33F" w:rsidRPr="00905A85" w:rsidRDefault="00A7320A" w:rsidP="009C133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KAN YAĞLARI (</w:t>
            </w:r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LİPİD</w:t>
            </w: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) </w:t>
            </w:r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PROFİLİ </w:t>
            </w:r>
          </w:p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33F" w:rsidRPr="00905A85" w:rsidRDefault="009C133F" w:rsidP="009C133F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Lipidler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Kandaki yağ ve kolesterol oranlarını </w:t>
            </w: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belirler.Kolesterol</w:t>
            </w:r>
            <w:proofErr w:type="spellEnd"/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  ve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Trigliseridlerden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oluşur.</w:t>
            </w:r>
          </w:p>
          <w:p w:rsidR="009C133F" w:rsidRPr="00905A85" w:rsidRDefault="009C133F" w:rsidP="009C133F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Kolesterol testi, özellikle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ateroskleroz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ve koroner arter hastalığı riskinin değerlendirilmesi için faydalıdır. Kolesterol,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lipid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profilinin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bir parçasıdır.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A7320A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HDL KOLESTEROL</w:t>
            </w:r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(İyi Kolesterol)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Artmış HDL düzeyleri koroner kalp hastalıklarına karşı koruyucu iken, yüksek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trigliserid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düzeyi ile birlikte azalmış HDL düzeyleri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kardiyovasküler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hastalık riskinin arttığına işaret eder.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A7320A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LDL KOLESTEROL</w:t>
            </w:r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(Kötü Kolesterol)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LDL  Özellikle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ateroskleroz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ve koroner kalp hastalığı riskini saptamak için </w:t>
            </w:r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 xml:space="preserve">kullanılır. LDL-kötü kolesterol düzeyinin yüksek olması,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ateroskleroz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ve koroner kalp hastalığı riski ile yakından ilişkilidir.</w:t>
            </w:r>
          </w:p>
        </w:tc>
      </w:tr>
      <w:tr w:rsidR="00905A85" w:rsidRPr="00905A85" w:rsidTr="00C06B55">
        <w:trPr>
          <w:trHeight w:val="930"/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A7320A" w:rsidP="00A7320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TRİGLİSERİD</w:t>
            </w:r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Trigliserit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düzeylerinin ve kolesterolün artmış olması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ateroskleroz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için risk faktörleridir.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Trigliserit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ve kolesterol değerlerinin beraber değerlendirilmesi daha anlamlıdır. İnsan plazmasının temel yağ elemanıdır.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A7320A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AÇLIK KAN ŞEKERİ</w:t>
            </w:r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(</w:t>
            </w:r>
            <w:proofErr w:type="spellStart"/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Glukoz</w:t>
            </w:r>
            <w:proofErr w:type="spellEnd"/>
            <w:r w:rsidR="009C133F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Glukoz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;Şeker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hastalığı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tanısı,diyabet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hastalıkları.Karbonhidrat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metabolizmasının değerlendirmesi.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A7320A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KREATİNİN</w:t>
            </w: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A70C8A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KREATİNİN</w:t>
            </w:r>
            <w:r w:rsidR="00326BFE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(BÖBREK TESTİ)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Kreatinin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düzeyinin yükseldiği durumlar böbrek fonksiyon bozukluğu, kas hastalıları, şok,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dehidratasyon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hipertiroidizm,akromegali</w:t>
            </w:r>
            <w:proofErr w:type="spellEnd"/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ve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gigantizm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et türü gıdaların alımı kan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kreatinin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düzeyinin azaldığı durumlar kas kitlesinin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azalması,şiddetli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karaciğer hastalığı, yetersiz protein alımı ve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gebelikdir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SGPT (ALT</w:t>
            </w:r>
            <w:r w:rsidR="00326BFE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-KARACİĞER TESTİ</w:t>
            </w: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33F" w:rsidRPr="00905A85" w:rsidRDefault="009C133F" w:rsidP="00816382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SGPT;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Primer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olarak karaciğer hastalıklarının tanısında ve bunun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yanısıra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hepatit tedavisinin, aktif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postnekrotik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sirozun ve tedavi sonrası ilaç etkilerinin izlenmesinde kullanılır. Herhangi bir sebeple oluşan akut karaciğer hücresi ölümü, ciddi şoklar, kalp yetmezlikleri ve büyük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travmalarda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seviyeleri çok artar. Siroz, tıkanma sarılığı, karaciğer tümörleri, yaygın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myokard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infarktüsü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myokardit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muskuler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distrofi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preeklampsi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kas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travmaları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yağlı karaciğer, kronik alkol kullanımı, şiddetli yanıklar ve ağır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pankreatit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olgularında seviyeleri yükselir.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9C133F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TSH-(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Tiroid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Stimulan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Hormon</w:t>
            </w:r>
            <w:r w:rsidR="00326BFE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-GUATR TESTİ</w:t>
            </w: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A85" w:rsidRDefault="00905A85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417451" w:rsidRPr="00905A85" w:rsidRDefault="009C133F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TSH 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Tiroid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hastalıklarının değerlendirilmesinde özgünlük ve duyarlılığı çok yüksektir.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Tiroid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hormonlarının salgılanmasının düzenlenmesinde merkez rol oynar.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33F" w:rsidRPr="00905A85" w:rsidRDefault="00A70C8A" w:rsidP="009C133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05A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TAM KAN SAYIMI</w:t>
            </w:r>
            <w:r w:rsidR="00326BFE" w:rsidRPr="00905A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(18 PARAMETRE)</w:t>
            </w:r>
          </w:p>
          <w:p w:rsidR="009C133F" w:rsidRPr="00905A85" w:rsidRDefault="009C133F" w:rsidP="009C133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Lökosit (WBC)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proofErr w:type="spell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Nötrofil</w:t>
            </w:r>
            <w:proofErr w:type="spellEnd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 (NEU)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Lenfosit (LYM)</w:t>
            </w:r>
          </w:p>
          <w:p w:rsidR="009C133F" w:rsidRPr="00905A85" w:rsidRDefault="009C133F" w:rsidP="009C133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proofErr w:type="spell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Monosit</w:t>
            </w:r>
            <w:proofErr w:type="spellEnd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 (MONO)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proofErr w:type="spell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Eozinofil</w:t>
            </w:r>
            <w:proofErr w:type="spellEnd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 (EOS)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Bazofil (BAZO)</w:t>
            </w:r>
          </w:p>
          <w:p w:rsidR="009C133F" w:rsidRPr="00905A85" w:rsidRDefault="009C133F" w:rsidP="009C133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Eritrosit Sayısı (RBC)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Hemoglobin (HGB)</w:t>
            </w:r>
          </w:p>
          <w:p w:rsidR="009C133F" w:rsidRPr="00905A85" w:rsidRDefault="009C133F" w:rsidP="009C133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proofErr w:type="spell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Hemotokrit</w:t>
            </w:r>
            <w:proofErr w:type="spellEnd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 (HCT)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proofErr w:type="gram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MVC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MCH</w:t>
            </w:r>
            <w:proofErr w:type="gramEnd"/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MCHC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RDW</w:t>
            </w:r>
          </w:p>
          <w:p w:rsidR="009C133F" w:rsidRPr="00905A85" w:rsidRDefault="009C133F" w:rsidP="009C133F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proofErr w:type="spell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Tormbosit</w:t>
            </w:r>
            <w:proofErr w:type="spellEnd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Sayısı</w:t>
            </w:r>
            <w:r w:rsid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 w:rsidRPr="00905A85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MPV</w:t>
            </w:r>
            <w:proofErr w:type="spellEnd"/>
            <w:proofErr w:type="gramEnd"/>
          </w:p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451" w:rsidRPr="00905A85" w:rsidRDefault="009C133F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Kan sayımı analizi en sık istenen temel tarama testlerinden biridir. Kan sayımı bulguları, hematolojik ve diğer sistemlerde ilgili olarak çok önemli bilgiler sağlar.  Kansızlıkta, 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enfeksiyonlarda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, kan hastalıklarında, demir eksikliğinde vs. önemli bilgiler verir.</w:t>
            </w:r>
          </w:p>
        </w:tc>
      </w:tr>
      <w:tr w:rsidR="00905A85" w:rsidRPr="00905A85" w:rsidTr="00326BFE">
        <w:trPr>
          <w:jc w:val="center"/>
        </w:trPr>
        <w:tc>
          <w:tcPr>
            <w:tcW w:w="26" w:type="pct"/>
            <w:shd w:val="clear" w:color="auto" w:fill="auto"/>
          </w:tcPr>
          <w:p w:rsidR="00326BFE" w:rsidRPr="00905A85" w:rsidRDefault="00326BFE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4974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6BFE" w:rsidRPr="00905A85" w:rsidRDefault="00326BFE" w:rsidP="00326B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326BFE" w:rsidRPr="00905A85" w:rsidRDefault="00326BFE" w:rsidP="00326B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KANSER ve TÜMÖR TARAMA TESTLER (İSTEYE GÖRE EKLENECEKTİR)</w:t>
            </w:r>
          </w:p>
          <w:p w:rsidR="00326BFE" w:rsidRPr="00905A85" w:rsidRDefault="00326BFE" w:rsidP="00326B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CEA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Kolon,rektum</w:t>
            </w:r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,akciğer,meme,karaciğer,pankreas,prostat,mide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ve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over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kanserlerinde düzeyi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artabilir.Genel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kanser tarama testidir.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CA 125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Özellikle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over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malignitelerinin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takibinde kullanılan bir tümör </w:t>
            </w: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markeridir.Yumurtalık</w:t>
            </w:r>
            <w:proofErr w:type="spellEnd"/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Kanser tanısı ve bazı kanserleri belirler.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CA 19-9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Tüm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gastrointestinal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sistem kanserleri (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pankreatik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kanserler,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kolanjiokarsinomlar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, kolon kanserleri vb.) ve diğer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adenokarsinomlarda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düzeyi artabilir.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CA 15-3</w:t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Özellikle Meme kanserli hastaların tanı ve tedavi takibinde </w:t>
            </w: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kullanılır.Diğer</w:t>
            </w:r>
            <w:proofErr w:type="spellEnd"/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kanser taramalarında da kullanılır.</w:t>
            </w:r>
          </w:p>
        </w:tc>
      </w:tr>
      <w:tr w:rsidR="00905A85" w:rsidRPr="00905A85" w:rsidTr="00C06B55">
        <w:trPr>
          <w:jc w:val="center"/>
        </w:trPr>
        <w:tc>
          <w:tcPr>
            <w:tcW w:w="26" w:type="pct"/>
            <w:shd w:val="clear" w:color="auto" w:fill="auto"/>
          </w:tcPr>
          <w:p w:rsidR="00417451" w:rsidRPr="00905A85" w:rsidRDefault="00417451" w:rsidP="00C97660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8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A70C8A" w:rsidP="00A70C8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TOTAL PSA</w:t>
            </w:r>
            <w:r w:rsidR="00417451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-</w:t>
            </w: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 xml:space="preserve"> </w:t>
            </w:r>
            <w:r w:rsidR="00417451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Prostat </w:t>
            </w:r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Spesifik Antijen</w:t>
            </w:r>
            <w:proofErr w:type="gramStart"/>
            <w:r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)</w:t>
            </w:r>
            <w:proofErr w:type="gramEnd"/>
            <w:r w:rsidR="00417451" w:rsidRPr="00905A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br/>
            </w:r>
          </w:p>
        </w:tc>
        <w:tc>
          <w:tcPr>
            <w:tcW w:w="3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451" w:rsidRPr="00905A85" w:rsidRDefault="00417451" w:rsidP="00C97660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tr-TR"/>
              </w:rPr>
            </w:pPr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PSA Total 45 Yaş üstü erkeklerde </w:t>
            </w:r>
            <w:proofErr w:type="spellStart"/>
            <w:proofErr w:type="gram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uygulanır.Prostat</w:t>
            </w:r>
            <w:proofErr w:type="spellEnd"/>
            <w:proofErr w:type="gram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bezi iltihabı ve prostat kanseri tanısında kullanılır. Amerikan Kanser Cemiyeti 40 yaş sonrası erkeklerde erken teşhis için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digital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rectal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muayene ile birlikte </w:t>
            </w:r>
            <w:proofErr w:type="spellStart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>PSA´yı</w:t>
            </w:r>
            <w:proofErr w:type="spellEnd"/>
            <w:r w:rsidRPr="00905A8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lang w:eastAsia="tr-TR"/>
              </w:rPr>
              <w:t xml:space="preserve"> önermektedir</w:t>
            </w:r>
          </w:p>
        </w:tc>
      </w:tr>
    </w:tbl>
    <w:p w:rsidR="006E6BC3" w:rsidRDefault="006E6BC3"/>
    <w:sectPr w:rsidR="006E6BC3" w:rsidSect="00F87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60"/>
    <w:rsid w:val="00147BBA"/>
    <w:rsid w:val="00326BFE"/>
    <w:rsid w:val="004005C4"/>
    <w:rsid w:val="00417451"/>
    <w:rsid w:val="00491AA9"/>
    <w:rsid w:val="006E6BC3"/>
    <w:rsid w:val="00734E24"/>
    <w:rsid w:val="00820DF8"/>
    <w:rsid w:val="00902659"/>
    <w:rsid w:val="00905A85"/>
    <w:rsid w:val="009C133F"/>
    <w:rsid w:val="00A70C8A"/>
    <w:rsid w:val="00A7320A"/>
    <w:rsid w:val="00BD4052"/>
    <w:rsid w:val="00BD5889"/>
    <w:rsid w:val="00C06B55"/>
    <w:rsid w:val="00C97660"/>
    <w:rsid w:val="00D05022"/>
    <w:rsid w:val="00D60B8F"/>
    <w:rsid w:val="00DA712E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11">
    <w:name w:val="y11"/>
    <w:basedOn w:val="VarsaylanParagrafYazTipi"/>
    <w:rsid w:val="00C97660"/>
  </w:style>
  <w:style w:type="character" w:customStyle="1" w:styleId="y12">
    <w:name w:val="y12"/>
    <w:basedOn w:val="VarsaylanParagrafYazTipi"/>
    <w:rsid w:val="00C97660"/>
  </w:style>
  <w:style w:type="character" w:customStyle="1" w:styleId="y10">
    <w:name w:val="y10"/>
    <w:basedOn w:val="VarsaylanParagrafYazTipi"/>
    <w:rsid w:val="00C97660"/>
  </w:style>
  <w:style w:type="character" w:customStyle="1" w:styleId="y9">
    <w:name w:val="y9"/>
    <w:basedOn w:val="VarsaylanParagrafYazTipi"/>
    <w:rsid w:val="00C97660"/>
  </w:style>
  <w:style w:type="character" w:customStyle="1" w:styleId="apple-converted-space">
    <w:name w:val="apple-converted-space"/>
    <w:basedOn w:val="VarsaylanParagrafYazTipi"/>
    <w:rsid w:val="00C97660"/>
  </w:style>
  <w:style w:type="paragraph" w:styleId="NormalWeb">
    <w:name w:val="Normal (Web)"/>
    <w:basedOn w:val="Normal"/>
    <w:uiPriority w:val="99"/>
    <w:unhideWhenUsed/>
    <w:rsid w:val="0041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D6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11">
    <w:name w:val="y11"/>
    <w:basedOn w:val="VarsaylanParagrafYazTipi"/>
    <w:rsid w:val="00C97660"/>
  </w:style>
  <w:style w:type="character" w:customStyle="1" w:styleId="y12">
    <w:name w:val="y12"/>
    <w:basedOn w:val="VarsaylanParagrafYazTipi"/>
    <w:rsid w:val="00C97660"/>
  </w:style>
  <w:style w:type="character" w:customStyle="1" w:styleId="y10">
    <w:name w:val="y10"/>
    <w:basedOn w:val="VarsaylanParagrafYazTipi"/>
    <w:rsid w:val="00C97660"/>
  </w:style>
  <w:style w:type="character" w:customStyle="1" w:styleId="y9">
    <w:name w:val="y9"/>
    <w:basedOn w:val="VarsaylanParagrafYazTipi"/>
    <w:rsid w:val="00C97660"/>
  </w:style>
  <w:style w:type="character" w:customStyle="1" w:styleId="apple-converted-space">
    <w:name w:val="apple-converted-space"/>
    <w:basedOn w:val="VarsaylanParagrafYazTipi"/>
    <w:rsid w:val="00C97660"/>
  </w:style>
  <w:style w:type="paragraph" w:styleId="NormalWeb">
    <w:name w:val="Normal (Web)"/>
    <w:basedOn w:val="Normal"/>
    <w:uiPriority w:val="99"/>
    <w:unhideWhenUsed/>
    <w:rsid w:val="0041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D6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ezinti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Raptiye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5B9A-DCC2-4023-B312-1960579C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2014-12-17T12:36:00Z</dcterms:created>
  <dcterms:modified xsi:type="dcterms:W3CDTF">2014-12-18T11:39:00Z</dcterms:modified>
</cp:coreProperties>
</file>